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рисками при реализации проекта государственно-частного партнерства</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при реализации проекта государственно-частного партнерства»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«Управление  рисками при реализации проекта государственно-частного партнерства».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рисками при реализации проекта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и контролю подготовки и реализации проекта государственно-частного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теорию управления рисками при реализации проекта государственно- частного партнерства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методы управление рисками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системный анализ, теорию принятия решений, технологические риски и технические нормативы, основные методы и технологии анализа информационного поля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анализировать эффективность работы команды проекта государственно- частного партнерства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разрабатывать документы, отчеты по проекту государственно-частного партнерства, разрабатывать матрицу рисков проекта государственно-частного партнерства, мероприятия по управлению рисками проекта государственно-частного партнерства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управлять рисками проекта государственно-частного партнерства, системой внедрения изменений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выявлять и оценивать риски проекта государственно-частного партнерства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ПК-4.46 владеть навыками управления рисками проекта государственно-частного партнерства на всех этапах жизненного цикла проекта, матрицы рисков проекта государственно-частного партнерства и перечня мероприятий по управлению рисками проекта государственно-частного партнерства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351.4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 ее решения через реализацию проектного управления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«Управление  рисками при реализации проекта государственно- частного партнерства» относится к обязательной части, является дисциплиной Блока Б1. «Дисциплины (модули)». Модуль "Управление и контроль реализации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Межкультурное взаимодействие в современном обществе</w:t>
            </w:r>
          </w:p>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p>
            <w:pPr>
              <w:jc w:val="center"/>
              <w:spacing w:after="0" w:line="240" w:lineRule="auto"/>
              <w:rPr>
                <w:sz w:val="22"/>
                <w:szCs w:val="22"/>
              </w:rPr>
            </w:pPr>
            <w:r>
              <w:rPr>
                <w:rFonts w:ascii="Times New Roman" w:hAnsi="Times New Roman" w:cs="Times New Roman"/>
                <w:color w:val="#000000"/>
                <w:sz w:val="22"/>
                <w:szCs w:val="22"/>
              </w:rPr>
              <w:t> Механизмы  государственно-частного партнерства на российском и зарубежном рынках</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Профессиональные коммуникации при реализации проектов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Многообразие механизмов, моделей и форм государственно-частного партнерства и специфика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Институты содействия ГЧП в региональном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институциональной среды для развития ГЧП. Инструменты государственно- частного партнерства в инновационной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при реализации проектов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управления рисками в проектах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Формы государственной поддержки партнерских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Многообразие механизмов, моделей и форм государственно-частного партнерства и специфика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Институты содействия ГЧП в региональном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институциональной среды для развития ГЧП. Инструменты государственно- частного партнерства в инновационной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при реализации проектов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управления рисками в проектах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Формы государственной поддержки партнерских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933.1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Многообразие механизмов, моделей и форм государственно-частного партнерства и специфика их реализации</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обязательные признаки и организационно-правовые формы ГЧП в России. Обязательные признаки ГЧП. Организационно-правовые формы ГЧП. Классификационные основания определения форм ГЧП. Различные уровни ответственности и распределение рисков государственных и частных структур. Механизмы ГЧП: типовые специализированные контракты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Институты содействия ГЧП в региональном развитии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Институт государственно-частного партнерства как фактор развития социальной инфраструктуры регионов России. Роль институтов развития в реализации проектов государственно-частного партнерства. Институты развития – специализированные государственные (квазигосударственные) корпорации (компании). Участие Инвестиционного Фонда в софинансировании проектов. Внешэкономбанк как специальный орган в России, институт развития, принимающим участие в реализации государственно-частного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институциональной среды для развития ГЧП. Инструменты государственно-частного партнерства в инновационной сфере.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Инвестиционного Фонда в софинансировании проектов. Роль Внешэкономбанка в реализации проектов ГЧП, развитие новых институтов регулирования деятельности в реализации ГЧП в российских регионах (Центра ГЧП Внешэкономбанка, региональных центров ГЧП в составе региональных органов власти, фонд поддержки (развития) инфраструктурных проектов). Регламентация проведения конкурсов на право заключения соглашения об осуществлении деятельности на основе государственно-частного партнерства. Проектное финансирование и инвестиционный анализ проектов государственно-частного партнерства. Состав сделок, необходимых для привлечения проектного финансирования. Требования к проработке рыночных рисков проекта.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при реализации проектов государственно-частного партнерства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Важность учета различного рода рисков. Способы снижения рисков и участием правительства. Роль государства в управлении рисками ГЧП. Участие государства в решении проблем частного сектора по снижению рисков, включая преодоление бюрократических процедур, изменения основных положений договоров и соглашений. Государственные гарантии и (vs) стимулы к эффективному функционированию частного сектора.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управления рисками в проектах государственно-частного партнерства</w:t>
            </w:r>
          </w:p>
        </w:tc>
      </w:tr>
      <w:tr>
        <w:trPr>
          <w:trHeight w:hRule="exact" w:val="3530.6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рисков. Трансфер рисков. Интересы сторон. Опасности и их преодоление. Санкции. Страхование рисков. Инструменты управления рисками в проектах государственно-частного партнерства. Санкции. Страхование рисков. Инструменты управления рисками в проектах государственно-частного партнерства. Понятие риска. Основные категории рисков. Риски в теории проектного финансирования. Политические риски. Институциональная нестабильность. Риски изменения правил регулирования деятельности частного партнера, общих и специальных нормативных правовых актов. Обстоятельства непреодолимой силы. Коммерческие (проектные) риски (строительные, эксплуатационные, сервисные, риски спроса и рентабельности). Макроэкономические (валютные и финансовые) риски. Риски участников проекта по схемам ГЧП: государство (муниципалитет), контрактор (концессионер), акционеры, кредиторы, страховщики. Разделение рисков и взаимная ответственность партнеров. Разделение рисков как основа переговоров между публичными и частными партнерами.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Формы государственной поддержки партнерских проектов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государственной поддержки партнерских проектов: займы, гарантии, участие в капитале, субсидии, суверенные гарантии, налоговые и таможенные льготы, защита от возникновения конкурентных проектов, дополнительные источники доходов, возврат заемных средств. Основной инструментарий финансовой поддержки проектов ГЧП. Различные формы государственной поддержки. Займы: государственные займы с льготными процентными ставками; субординированные займы. Поддержка в случае материализации проектного риска. Ограничения (фиксированные суммы или проценты от общей стоимости проекта). Гарантии правительственного агента по займам компании оператора проекта ГЧП. Участие в капитале.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Многообразие механизмов, моделей и форм государственно-частного партнерства и специфика их реализации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Отдельные типы (модели) ГЧП в соответствии с основными целями (организационные модели, модели финансирования, модели кооперации).</w:t>
            </w:r>
          </w:p>
          <w:p>
            <w:pPr>
              <w:jc w:val="both"/>
              <w:spacing w:after="0" w:line="240" w:lineRule="auto"/>
              <w:rPr>
                <w:sz w:val="24"/>
                <w:szCs w:val="24"/>
              </w:rPr>
            </w:pPr>
            <w:r>
              <w:rPr>
                <w:rFonts w:ascii="Times New Roman" w:hAnsi="Times New Roman" w:cs="Times New Roman"/>
                <w:color w:val="#000000"/>
                <w:sz w:val="24"/>
                <w:szCs w:val="24"/>
              </w:rPr>
              <w:t> 2. Классификационные основания определения форм ГЧП.</w:t>
            </w:r>
          </w:p>
          <w:p>
            <w:pPr>
              <w:jc w:val="both"/>
              <w:spacing w:after="0" w:line="240" w:lineRule="auto"/>
              <w:rPr>
                <w:sz w:val="24"/>
                <w:szCs w:val="24"/>
              </w:rPr>
            </w:pPr>
            <w:r>
              <w:rPr>
                <w:rFonts w:ascii="Times New Roman" w:hAnsi="Times New Roman" w:cs="Times New Roman"/>
                <w:color w:val="#000000"/>
                <w:sz w:val="24"/>
                <w:szCs w:val="24"/>
              </w:rPr>
              <w:t> 3. Многообразие форм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4. Различные уровни ответственности и распределение рисков государственных и частных структур.</w:t>
            </w:r>
          </w:p>
          <w:p>
            <w:pPr>
              <w:jc w:val="both"/>
              <w:spacing w:after="0" w:line="240" w:lineRule="auto"/>
              <w:rPr>
                <w:sz w:val="24"/>
                <w:szCs w:val="24"/>
              </w:rPr>
            </w:pPr>
            <w:r>
              <w:rPr>
                <w:rFonts w:ascii="Times New Roman" w:hAnsi="Times New Roman" w:cs="Times New Roman"/>
                <w:color w:val="#000000"/>
                <w:sz w:val="24"/>
                <w:szCs w:val="24"/>
              </w:rPr>
              <w:t> 5. Механизмы ГЧП: типовые специализированные контракты</w:t>
            </w:r>
          </w:p>
          <w:p>
            <w:pPr>
              <w:jc w:val="both"/>
              <w:spacing w:after="0" w:line="240" w:lineRule="auto"/>
              <w:rPr>
                <w:sz w:val="24"/>
                <w:szCs w:val="24"/>
              </w:rPr>
            </w:pPr>
            <w:r>
              <w:rPr>
                <w:rFonts w:ascii="Times New Roman" w:hAnsi="Times New Roman" w:cs="Times New Roman"/>
                <w:color w:val="#000000"/>
                <w:sz w:val="24"/>
                <w:szCs w:val="24"/>
              </w:rPr>
              <w:t> 6. Факторы и условия, сдерживающие развитие института ГЧП (МЧП) в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Институты содействия ГЧП в региональном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Участие Инвестиционного Фонда в софинансировании проектов.</w:t>
            </w:r>
          </w:p>
          <w:p>
            <w:pPr>
              <w:jc w:val="both"/>
              <w:spacing w:after="0" w:line="240" w:lineRule="auto"/>
              <w:rPr>
                <w:sz w:val="24"/>
                <w:szCs w:val="24"/>
              </w:rPr>
            </w:pPr>
            <w:r>
              <w:rPr>
                <w:rFonts w:ascii="Times New Roman" w:hAnsi="Times New Roman" w:cs="Times New Roman"/>
                <w:color w:val="#000000"/>
                <w:sz w:val="24"/>
                <w:szCs w:val="24"/>
              </w:rPr>
              <w:t> 2. Развитие новых институтов регулирования деятельности в реализации ГЧП в российских регионах.</w:t>
            </w:r>
          </w:p>
          <w:p>
            <w:pPr>
              <w:jc w:val="both"/>
              <w:spacing w:after="0" w:line="240" w:lineRule="auto"/>
              <w:rPr>
                <w:sz w:val="24"/>
                <w:szCs w:val="24"/>
              </w:rPr>
            </w:pPr>
            <w:r>
              <w:rPr>
                <w:rFonts w:ascii="Times New Roman" w:hAnsi="Times New Roman" w:cs="Times New Roman"/>
                <w:color w:val="#000000"/>
                <w:sz w:val="24"/>
                <w:szCs w:val="24"/>
              </w:rPr>
              <w:t> 3. Регламентация проведения конкурсов на право заключения соглашения об осуществлении деятельности на основе государственно-частного партнерства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институциональной среды для развития ГЧП. Инструменты государственно-частного партнерства в инновационной сфере.</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Проектное финансирование и инвестиционный анализ проектов государственно- частного партнерства. Принципы проектного финансирования.</w:t>
            </w:r>
          </w:p>
          <w:p>
            <w:pPr>
              <w:jc w:val="both"/>
              <w:spacing w:after="0" w:line="240" w:lineRule="auto"/>
              <w:rPr>
                <w:sz w:val="24"/>
                <w:szCs w:val="24"/>
              </w:rPr>
            </w:pPr>
            <w:r>
              <w:rPr>
                <w:rFonts w:ascii="Times New Roman" w:hAnsi="Times New Roman" w:cs="Times New Roman"/>
                <w:color w:val="#000000"/>
                <w:sz w:val="24"/>
                <w:szCs w:val="24"/>
              </w:rPr>
              <w:t> 2.	Сравнение проектного финансирования с корпоративным финансированием и финансированием на риске бюджета.</w:t>
            </w:r>
          </w:p>
          <w:p>
            <w:pPr>
              <w:jc w:val="both"/>
              <w:spacing w:after="0" w:line="240" w:lineRule="auto"/>
              <w:rPr>
                <w:sz w:val="24"/>
                <w:szCs w:val="24"/>
              </w:rPr>
            </w:pPr>
            <w:r>
              <w:rPr>
                <w:rFonts w:ascii="Times New Roman" w:hAnsi="Times New Roman" w:cs="Times New Roman"/>
                <w:color w:val="#000000"/>
                <w:sz w:val="24"/>
                <w:szCs w:val="24"/>
              </w:rPr>
              <w:t> 3.	Состав сделок, необходимых для привлечения проектного финансирования. Требования к проработке рыночных рисков проекта.</w:t>
            </w:r>
          </w:p>
          <w:p>
            <w:pPr>
              <w:jc w:val="both"/>
              <w:spacing w:after="0" w:line="240" w:lineRule="auto"/>
              <w:rPr>
                <w:sz w:val="24"/>
                <w:szCs w:val="24"/>
              </w:rPr>
            </w:pPr>
            <w:r>
              <w:rPr>
                <w:rFonts w:ascii="Times New Roman" w:hAnsi="Times New Roman" w:cs="Times New Roman"/>
                <w:color w:val="#000000"/>
                <w:sz w:val="24"/>
                <w:szCs w:val="24"/>
              </w:rPr>
              <w:t> 4.	Требования к строительным, эксплуатационным, поставочным и закупочным контрактам.</w:t>
            </w:r>
          </w:p>
          <w:p>
            <w:pPr>
              <w:jc w:val="both"/>
              <w:spacing w:after="0" w:line="240" w:lineRule="auto"/>
              <w:rPr>
                <w:sz w:val="24"/>
                <w:szCs w:val="24"/>
              </w:rPr>
            </w:pPr>
            <w:r>
              <w:rPr>
                <w:rFonts w:ascii="Times New Roman" w:hAnsi="Times New Roman" w:cs="Times New Roman"/>
                <w:color w:val="#000000"/>
                <w:sz w:val="24"/>
                <w:szCs w:val="24"/>
              </w:rPr>
              <w:t> 5.	Необходимость инвестиционного анализа в формировании проектного финансирования. Предмет инвестиционного анализа. Основные результаты инвестиционного анализа, используемые в проектном финансировании.</w:t>
            </w:r>
          </w:p>
          <w:p>
            <w:pPr>
              <w:jc w:val="both"/>
              <w:spacing w:after="0" w:line="240" w:lineRule="auto"/>
              <w:rPr>
                <w:sz w:val="24"/>
                <w:szCs w:val="24"/>
              </w:rPr>
            </w:pPr>
            <w:r>
              <w:rPr>
                <w:rFonts w:ascii="Times New Roman" w:hAnsi="Times New Roman" w:cs="Times New Roman"/>
                <w:color w:val="#000000"/>
                <w:sz w:val="24"/>
                <w:szCs w:val="24"/>
              </w:rPr>
              <w:t> 6.	Методы обоснования и построения прогнозов сбыта и затрат. Прогнозирование капитальных затрат и учет экономических эффектов от реализации капитальных вложений.</w:t>
            </w:r>
          </w:p>
          <w:p>
            <w:pPr>
              <w:jc w:val="both"/>
              <w:spacing w:after="0" w:line="240" w:lineRule="auto"/>
              <w:rPr>
                <w:sz w:val="24"/>
                <w:szCs w:val="24"/>
              </w:rPr>
            </w:pPr>
            <w:r>
              <w:rPr>
                <w:rFonts w:ascii="Times New Roman" w:hAnsi="Times New Roman" w:cs="Times New Roman"/>
                <w:color w:val="#000000"/>
                <w:sz w:val="24"/>
                <w:szCs w:val="24"/>
              </w:rPr>
              <w:t> 7.	Вопросы учета при инвестиционном анализе проекта. Расчет стоимости финансирования. Влияние риска на стоимость привлекаемого финансирования.</w:t>
            </w:r>
          </w:p>
          <w:p>
            <w:pPr>
              <w:jc w:val="both"/>
              <w:spacing w:after="0" w:line="240" w:lineRule="auto"/>
              <w:rPr>
                <w:sz w:val="24"/>
                <w:szCs w:val="24"/>
              </w:rPr>
            </w:pPr>
            <w:r>
              <w:rPr>
                <w:rFonts w:ascii="Times New Roman" w:hAnsi="Times New Roman" w:cs="Times New Roman"/>
                <w:color w:val="#000000"/>
                <w:sz w:val="24"/>
                <w:szCs w:val="24"/>
              </w:rPr>
              <w:t> 8.	Модель CAPM. Расчет WACC.</w:t>
            </w:r>
          </w:p>
          <w:p>
            <w:pPr>
              <w:jc w:val="both"/>
              <w:spacing w:after="0" w:line="240" w:lineRule="auto"/>
              <w:rPr>
                <w:sz w:val="24"/>
                <w:szCs w:val="24"/>
              </w:rPr>
            </w:pPr>
            <w:r>
              <w:rPr>
                <w:rFonts w:ascii="Times New Roman" w:hAnsi="Times New Roman" w:cs="Times New Roman"/>
                <w:color w:val="#000000"/>
                <w:sz w:val="24"/>
                <w:szCs w:val="24"/>
              </w:rPr>
              <w:t> 9.	Оценка финансовой эффективности. NPV, IRR. Анализ чувствительности.</w:t>
            </w:r>
          </w:p>
          <w:p>
            <w:pPr>
              <w:jc w:val="both"/>
              <w:spacing w:after="0" w:line="240" w:lineRule="auto"/>
              <w:rPr>
                <w:sz w:val="24"/>
                <w:szCs w:val="24"/>
              </w:rPr>
            </w:pPr>
            <w:r>
              <w:rPr>
                <w:rFonts w:ascii="Times New Roman" w:hAnsi="Times New Roman" w:cs="Times New Roman"/>
                <w:color w:val="#000000"/>
                <w:sz w:val="24"/>
                <w:szCs w:val="24"/>
              </w:rPr>
              <w:t> 10.	Оценка финансовой, бюджетной и экономической эффективности на примере региональных проектов, претендующих на субсидии инвестиционного фонда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при реализации проектов государственно-частного партнерства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рисков реализации инвестиционного проекта. Классификация рисков проекта ГЧП.</w:t>
            </w:r>
          </w:p>
          <w:p>
            <w:pPr>
              <w:jc w:val="both"/>
              <w:spacing w:after="0" w:line="240" w:lineRule="auto"/>
              <w:rPr>
                <w:sz w:val="24"/>
                <w:szCs w:val="24"/>
              </w:rPr>
            </w:pPr>
            <w:r>
              <w:rPr>
                <w:rFonts w:ascii="Times New Roman" w:hAnsi="Times New Roman" w:cs="Times New Roman"/>
                <w:color w:val="#000000"/>
                <w:sz w:val="24"/>
                <w:szCs w:val="24"/>
              </w:rPr>
              <w:t> 2.	Основные принципы разделения рисков между сторонами и участниками долгосрочного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3.	Принципиальные подходы к управлению различными категориями рисков.</w:t>
            </w:r>
          </w:p>
          <w:p>
            <w:pPr>
              <w:jc w:val="both"/>
              <w:spacing w:after="0" w:line="240" w:lineRule="auto"/>
              <w:rPr>
                <w:sz w:val="24"/>
                <w:szCs w:val="24"/>
              </w:rPr>
            </w:pPr>
            <w:r>
              <w:rPr>
                <w:rFonts w:ascii="Times New Roman" w:hAnsi="Times New Roman" w:cs="Times New Roman"/>
                <w:color w:val="#000000"/>
                <w:sz w:val="24"/>
                <w:szCs w:val="24"/>
              </w:rPr>
              <w:t> 4.	Механизмы согласования и процедуры изменения условий контракта в ходе его реализации.</w:t>
            </w:r>
          </w:p>
          <w:p>
            <w:pPr>
              <w:jc w:val="both"/>
              <w:spacing w:after="0" w:line="240" w:lineRule="auto"/>
              <w:rPr>
                <w:sz w:val="24"/>
                <w:szCs w:val="24"/>
              </w:rPr>
            </w:pPr>
            <w:r>
              <w:rPr>
                <w:rFonts w:ascii="Times New Roman" w:hAnsi="Times New Roman" w:cs="Times New Roman"/>
                <w:color w:val="#000000"/>
                <w:sz w:val="24"/>
                <w:szCs w:val="24"/>
              </w:rPr>
              <w:t> 5.	Механизмы государственных и муниципальных гарантий и гарантий коммерческих банков</w:t>
            </w:r>
          </w:p>
          <w:p>
            <w:pPr>
              <w:jc w:val="both"/>
              <w:spacing w:after="0" w:line="240" w:lineRule="auto"/>
              <w:rPr>
                <w:sz w:val="24"/>
                <w:szCs w:val="24"/>
              </w:rPr>
            </w:pPr>
            <w:r>
              <w:rPr>
                <w:rFonts w:ascii="Times New Roman" w:hAnsi="Times New Roman" w:cs="Times New Roman"/>
                <w:color w:val="#000000"/>
                <w:sz w:val="24"/>
                <w:szCs w:val="24"/>
              </w:rPr>
              <w:t> 6.	для управления рисками реализации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7.	Механизмы страхования для управления рисками реализации инвестиционного проекта. Штрафные механизмы в проектах ГЧП.</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управления рисками в проектах государственно-частного партнерства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Риски. Дефиниции. Категории рисков. Трансфер рисков. Интересы сторон. Опасности и их преодоление.</w:t>
            </w:r>
          </w:p>
          <w:p>
            <w:pPr>
              <w:jc w:val="both"/>
              <w:spacing w:after="0" w:line="240" w:lineRule="auto"/>
              <w:rPr>
                <w:sz w:val="24"/>
                <w:szCs w:val="24"/>
              </w:rPr>
            </w:pPr>
            <w:r>
              <w:rPr>
                <w:rFonts w:ascii="Times New Roman" w:hAnsi="Times New Roman" w:cs="Times New Roman"/>
                <w:color w:val="#000000"/>
                <w:sz w:val="24"/>
                <w:szCs w:val="24"/>
              </w:rPr>
              <w:t> 2.	Санкции. Страхование рисков.</w:t>
            </w:r>
          </w:p>
          <w:p>
            <w:pPr>
              <w:jc w:val="both"/>
              <w:spacing w:after="0" w:line="240" w:lineRule="auto"/>
              <w:rPr>
                <w:sz w:val="24"/>
                <w:szCs w:val="24"/>
              </w:rPr>
            </w:pPr>
            <w:r>
              <w:rPr>
                <w:rFonts w:ascii="Times New Roman" w:hAnsi="Times New Roman" w:cs="Times New Roman"/>
                <w:color w:val="#000000"/>
                <w:sz w:val="24"/>
                <w:szCs w:val="24"/>
              </w:rPr>
              <w:t> 3.	Риски участников проекта по схемам ГЧП: государство (муниципалитет), контрактор (концессионер), акционеры, кредиторы, страховщики. Разделение рисков и взаимная ответственность партнеров.</w:t>
            </w:r>
          </w:p>
          <w:p>
            <w:pPr>
              <w:jc w:val="both"/>
              <w:spacing w:after="0" w:line="240" w:lineRule="auto"/>
              <w:rPr>
                <w:sz w:val="24"/>
                <w:szCs w:val="24"/>
              </w:rPr>
            </w:pPr>
            <w:r>
              <w:rPr>
                <w:rFonts w:ascii="Times New Roman" w:hAnsi="Times New Roman" w:cs="Times New Roman"/>
                <w:color w:val="#000000"/>
                <w:sz w:val="24"/>
                <w:szCs w:val="24"/>
              </w:rPr>
              <w:t> 4.	Разделение рисков как основа переговоров между публичными и частными партнерами.</w:t>
            </w:r>
          </w:p>
          <w:p>
            <w:pPr>
              <w:jc w:val="both"/>
              <w:spacing w:after="0" w:line="240" w:lineRule="auto"/>
              <w:rPr>
                <w:sz w:val="24"/>
                <w:szCs w:val="24"/>
              </w:rPr>
            </w:pPr>
            <w:r>
              <w:rPr>
                <w:rFonts w:ascii="Times New Roman" w:hAnsi="Times New Roman" w:cs="Times New Roman"/>
                <w:color w:val="#000000"/>
                <w:sz w:val="24"/>
                <w:szCs w:val="24"/>
              </w:rPr>
              <w:t> 5.	Гибкость и разнообразие моделей распределения рисков. Контрольные списки возможных рисков для проектов в различных видах экономической деятельности и отраслях народного хозяйства.</w:t>
            </w:r>
          </w:p>
          <w:p>
            <w:pPr>
              <w:jc w:val="both"/>
              <w:spacing w:after="0" w:line="240" w:lineRule="auto"/>
              <w:rPr>
                <w:sz w:val="24"/>
                <w:szCs w:val="24"/>
              </w:rPr>
            </w:pPr>
            <w:r>
              <w:rPr>
                <w:rFonts w:ascii="Times New Roman" w:hAnsi="Times New Roman" w:cs="Times New Roman"/>
                <w:color w:val="#000000"/>
                <w:sz w:val="24"/>
                <w:szCs w:val="24"/>
              </w:rPr>
              <w:t> 6.	Матрица рисков как инструмент подготовки тендерных позиций.</w:t>
            </w:r>
          </w:p>
          <w:p>
            <w:pPr>
              <w:jc w:val="both"/>
              <w:spacing w:after="0" w:line="240" w:lineRule="auto"/>
              <w:rPr>
                <w:sz w:val="24"/>
                <w:szCs w:val="24"/>
              </w:rPr>
            </w:pPr>
            <w:r>
              <w:rPr>
                <w:rFonts w:ascii="Times New Roman" w:hAnsi="Times New Roman" w:cs="Times New Roman"/>
                <w:color w:val="#000000"/>
                <w:sz w:val="24"/>
                <w:szCs w:val="24"/>
              </w:rPr>
              <w:t> 7.	Переговорный процесс и распределение рисковой нагрузки и ее финансовых последствий. Механизмы снижения рисков форс-мажорных обстоятельств.</w:t>
            </w:r>
          </w:p>
          <w:p>
            <w:pPr>
              <w:jc w:val="both"/>
              <w:spacing w:after="0" w:line="240" w:lineRule="auto"/>
              <w:rPr>
                <w:sz w:val="24"/>
                <w:szCs w:val="24"/>
              </w:rPr>
            </w:pPr>
            <w:r>
              <w:rPr>
                <w:rFonts w:ascii="Times New Roman" w:hAnsi="Times New Roman" w:cs="Times New Roman"/>
                <w:color w:val="#000000"/>
                <w:sz w:val="24"/>
                <w:szCs w:val="24"/>
              </w:rPr>
              <w:t> 8.	Система мониторинга рисков в период исполнения контракта.</w:t>
            </w:r>
          </w:p>
          <w:p>
            <w:pPr>
              <w:jc w:val="both"/>
              <w:spacing w:after="0" w:line="240" w:lineRule="auto"/>
              <w:rPr>
                <w:sz w:val="24"/>
                <w:szCs w:val="24"/>
              </w:rPr>
            </w:pPr>
            <w:r>
              <w:rPr>
                <w:rFonts w:ascii="Times New Roman" w:hAnsi="Times New Roman" w:cs="Times New Roman"/>
                <w:color w:val="#000000"/>
                <w:sz w:val="24"/>
                <w:szCs w:val="24"/>
              </w:rPr>
              <w:t> 9.	Взаимозависимость решений по разделению рисков и распределению доходов.</w:t>
            </w:r>
          </w:p>
          <w:p>
            <w:pPr>
              <w:jc w:val="both"/>
              <w:spacing w:after="0" w:line="240" w:lineRule="auto"/>
              <w:rPr>
                <w:sz w:val="24"/>
                <w:szCs w:val="24"/>
              </w:rPr>
            </w:pPr>
            <w:r>
              <w:rPr>
                <w:rFonts w:ascii="Times New Roman" w:hAnsi="Times New Roman" w:cs="Times New Roman"/>
                <w:color w:val="#000000"/>
                <w:sz w:val="24"/>
                <w:szCs w:val="24"/>
              </w:rPr>
              <w:t> 10.	Динамика изменения рисков в ходе реализации проектов ГЧП. Институты страхования рисков.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Формы государственной поддержки партнерских проектов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государственной поддержки партнерских проектов:</w:t>
            </w:r>
          </w:p>
          <w:p>
            <w:pPr>
              <w:jc w:val="both"/>
              <w:spacing w:after="0" w:line="240" w:lineRule="auto"/>
              <w:rPr>
                <w:sz w:val="24"/>
                <w:szCs w:val="24"/>
              </w:rPr>
            </w:pPr>
            <w:r>
              <w:rPr>
                <w:rFonts w:ascii="Times New Roman" w:hAnsi="Times New Roman" w:cs="Times New Roman"/>
                <w:color w:val="#000000"/>
                <w:sz w:val="24"/>
                <w:szCs w:val="24"/>
              </w:rPr>
              <w:t> 2.	Обоснование целесообразности (необходимости) государственной (муниципальной) поддержки частного партнера в процессе реализации проекта по схеме ГЧП. Финансовые инструменты (участие в капитале, займы).</w:t>
            </w:r>
          </w:p>
          <w:p>
            <w:pPr>
              <w:jc w:val="both"/>
              <w:spacing w:after="0" w:line="240" w:lineRule="auto"/>
              <w:rPr>
                <w:sz w:val="24"/>
                <w:szCs w:val="24"/>
              </w:rPr>
            </w:pPr>
            <w:r>
              <w:rPr>
                <w:rFonts w:ascii="Times New Roman" w:hAnsi="Times New Roman" w:cs="Times New Roman"/>
                <w:color w:val="#000000"/>
                <w:sz w:val="24"/>
                <w:szCs w:val="24"/>
              </w:rPr>
              <w:t> 3.	Особенности и ограничения для публичных гарантий. Субсидии как средство стимулирования частного сектора к участию в проекте ГЧП.</w:t>
            </w:r>
          </w:p>
          <w:p>
            <w:pPr>
              <w:jc w:val="both"/>
              <w:spacing w:after="0" w:line="240" w:lineRule="auto"/>
              <w:rPr>
                <w:sz w:val="24"/>
                <w:szCs w:val="24"/>
              </w:rPr>
            </w:pPr>
            <w:r>
              <w:rPr>
                <w:rFonts w:ascii="Times New Roman" w:hAnsi="Times New Roman" w:cs="Times New Roman"/>
                <w:color w:val="#000000"/>
                <w:sz w:val="24"/>
                <w:szCs w:val="24"/>
              </w:rPr>
              <w:t> 4.	Тарифные субсидии. Цели, условия и особенности предоставления суверенных гарантий.</w:t>
            </w:r>
          </w:p>
          <w:p>
            <w:pPr>
              <w:jc w:val="both"/>
              <w:spacing w:after="0" w:line="240" w:lineRule="auto"/>
              <w:rPr>
                <w:sz w:val="24"/>
                <w:szCs w:val="24"/>
              </w:rPr>
            </w:pPr>
            <w:r>
              <w:rPr>
                <w:rFonts w:ascii="Times New Roman" w:hAnsi="Times New Roman" w:cs="Times New Roman"/>
                <w:color w:val="#000000"/>
                <w:sz w:val="24"/>
                <w:szCs w:val="24"/>
              </w:rPr>
              <w:t> 5.	 Гарантии исполнения обязательств. Гарантии против неблагоприятных государственных актов и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рисками при реализации проекта государственно-частного партнерства» / Сергиенко О 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государственно-частного</w:t>
            </w:r>
            <w:r>
              <w:rPr/>
              <w:t xml:space="preserve"> </w:t>
            </w:r>
            <w:r>
              <w:rPr>
                <w:rFonts w:ascii="Times New Roman" w:hAnsi="Times New Roman" w:cs="Times New Roman"/>
                <w:color w:val="#000000"/>
                <w:sz w:val="24"/>
                <w:szCs w:val="24"/>
              </w:rPr>
              <w:t>партнерства.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Луссе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Молостова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Привалов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Радушинская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Радушинский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https://urait.ru/bcode/475265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https://urait.ru/bcode/455590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8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2024-2025_ФГОС3++2024_Маг-ОФО-ГМУ(ГРЭ)(24)_plx_Управление  рисками при реализации проекта государственно-частного партнерства</dc:title>
  <dc:creator>FastReport.NET</dc:creator>
</cp:coreProperties>
</file>